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317D52" w14:textId="77777777" w:rsidR="00BC715B" w:rsidRPr="00BC715B" w:rsidRDefault="00BC715B" w:rsidP="00BC715B">
      <w:pPr>
        <w:tabs>
          <w:tab w:val="left" w:pos="426"/>
        </w:tabs>
        <w:spacing w:after="0" w:line="240" w:lineRule="auto"/>
        <w:jc w:val="center"/>
        <w:rPr>
          <w:rFonts w:ascii="Times New Roman" w:eastAsia="Times New Roman" w:hAnsi="Times New Roman" w:cs="Times New Roman"/>
          <w:b/>
          <w:sz w:val="24"/>
          <w:szCs w:val="24"/>
          <w:lang w:val="kk-KZ"/>
        </w:rPr>
      </w:pPr>
      <w:r w:rsidRPr="00BC715B">
        <w:rPr>
          <w:rFonts w:ascii="Times New Roman" w:eastAsia="Times New Roman" w:hAnsi="Times New Roman" w:cs="Times New Roman"/>
          <w:b/>
          <w:sz w:val="24"/>
          <w:szCs w:val="24"/>
          <w:lang w:val="kk-KZ"/>
        </w:rPr>
        <w:t>1 Дәріс</w:t>
      </w:r>
    </w:p>
    <w:p w14:paraId="37D454F3" w14:textId="03ABCF59" w:rsidR="002A39D9" w:rsidRPr="002A39D9" w:rsidRDefault="002A39D9" w:rsidP="002A39D9">
      <w:pPr>
        <w:tabs>
          <w:tab w:val="left" w:pos="426"/>
        </w:tabs>
        <w:spacing w:after="0" w:line="240" w:lineRule="auto"/>
        <w:jc w:val="center"/>
        <w:rPr>
          <w:rFonts w:ascii="Times New Roman" w:eastAsia="Times New Roman" w:hAnsi="Times New Roman" w:cs="Times New Roman"/>
          <w:b/>
          <w:color w:val="FF0000"/>
          <w:sz w:val="24"/>
          <w:szCs w:val="24"/>
          <w:lang w:val="kk-KZ"/>
        </w:rPr>
      </w:pPr>
      <w:r w:rsidRPr="002A39D9">
        <w:rPr>
          <w:rFonts w:ascii="Times New Roman" w:eastAsia="Times New Roman" w:hAnsi="Times New Roman" w:cs="Times New Roman"/>
          <w:b/>
          <w:sz w:val="24"/>
          <w:szCs w:val="24"/>
          <w:lang w:val="kk-KZ"/>
        </w:rPr>
        <w:t>Көлік жүйесінің жалпы сипаттамасы және оның халықаралық, мемлекеттік, қоғамдық-экономикалық дамуы.</w:t>
      </w:r>
    </w:p>
    <w:p w14:paraId="3979F8B1" w14:textId="67CBC890" w:rsidR="00BC715B" w:rsidRPr="00BC715B" w:rsidRDefault="00BC715B" w:rsidP="00BC715B">
      <w:pPr>
        <w:tabs>
          <w:tab w:val="left" w:pos="426"/>
        </w:tabs>
        <w:spacing w:after="0" w:line="240" w:lineRule="auto"/>
        <w:jc w:val="center"/>
        <w:rPr>
          <w:rFonts w:ascii="Times New Roman" w:eastAsia="Times New Roman" w:hAnsi="Times New Roman" w:cs="Times New Roman"/>
          <w:b/>
          <w:sz w:val="24"/>
          <w:szCs w:val="24"/>
          <w:lang w:val="kk-KZ"/>
        </w:rPr>
      </w:pPr>
    </w:p>
    <w:p w14:paraId="17467E23" w14:textId="77777777" w:rsidR="00BC715B" w:rsidRPr="00BC715B" w:rsidRDefault="00BC715B" w:rsidP="00BC715B">
      <w:pPr>
        <w:tabs>
          <w:tab w:val="left" w:pos="142"/>
          <w:tab w:val="left" w:pos="426"/>
          <w:tab w:val="left" w:pos="709"/>
          <w:tab w:val="left" w:pos="851"/>
          <w:tab w:val="left" w:pos="993"/>
        </w:tabs>
        <w:spacing w:after="0" w:line="240" w:lineRule="auto"/>
        <w:ind w:firstLine="567"/>
        <w:jc w:val="both"/>
        <w:rPr>
          <w:rFonts w:ascii="Times New Roman" w:eastAsia="Times New Roman" w:hAnsi="Times New Roman" w:cs="Times New Roman"/>
          <w:color w:val="FF0000"/>
          <w:sz w:val="24"/>
          <w:szCs w:val="24"/>
          <w:lang w:val="kk-KZ"/>
        </w:rPr>
      </w:pPr>
    </w:p>
    <w:p w14:paraId="0661C468" w14:textId="77777777" w:rsidR="00BC715B" w:rsidRPr="00BC715B" w:rsidRDefault="00BC715B" w:rsidP="00BC715B">
      <w:pPr>
        <w:tabs>
          <w:tab w:val="left" w:pos="142"/>
          <w:tab w:val="left" w:pos="426"/>
          <w:tab w:val="left" w:pos="709"/>
          <w:tab w:val="left" w:pos="851"/>
          <w:tab w:val="left" w:pos="993"/>
        </w:tabs>
        <w:spacing w:after="0" w:line="240" w:lineRule="auto"/>
        <w:ind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 xml:space="preserve">Көліктік үрдіс жылжымалы құрам берумен байланысты барлық операцияларды қосып алады. Олар:  </w:t>
      </w:r>
    </w:p>
    <w:p w14:paraId="6FB88C64"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Жүк ағындарының маркетингі.</w:t>
      </w:r>
    </w:p>
    <w:p w14:paraId="15EEC487"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Жүк ағындары материалдарын зерттеу негізінде жасау, рациональды маршрутты сызба, жаңа ашылған және бар маршруттар бағытының өзгеруін алдын ала қарастыру.</w:t>
      </w:r>
    </w:p>
    <w:p w14:paraId="03F62D9D"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Тип бойынша таңдау және тасымалдаудағы жылжымалы құрамның қажетті санын анықтау.</w:t>
      </w:r>
    </w:p>
    <w:p w14:paraId="164086DA"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Автомобильді пайдалану аумағын және шынайы тасымал шарттарына байланысты автопоездардың, түрлерін және жүк қасиеттерін, жүк көлігінің пайдалану көрсеткіштерін анықтау.</w:t>
      </w:r>
    </w:p>
    <w:p w14:paraId="4482101E"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Автокөлік қозғалысының жылдамдығын нормалау.</w:t>
      </w:r>
    </w:p>
    <w:p w14:paraId="4CB12E35"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Жүргізушілер жұмысының рационалды режимін пайдалана отырып, автокөлік қозғалысын ұйымдастыру жүйелерін таңдау.</w:t>
      </w:r>
    </w:p>
    <w:p w14:paraId="444682E4"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Автомобиль көлігінің басқа көліктермен координациялық жұмысы.</w:t>
      </w:r>
    </w:p>
    <w:p w14:paraId="60184449"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Жылжымалы құрамның маршруттардағы қозғалысының қауіпсіздігін және жол шарттары мақсатында жасау тиімділігін талдау.</w:t>
      </w:r>
    </w:p>
    <w:p w14:paraId="1E008E19"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Автомобиль көлігімен жүкті қауіпсіз тасымалдау мен тиімділігін қамтамасыз ету.</w:t>
      </w:r>
    </w:p>
    <w:p w14:paraId="165805F0"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 xml:space="preserve"> Жылжымалы құрамды пайдаланудың тиімділігін арттыру есептері  және тасымалдау шығынын азайтуда экономикалық – математикалық әдістерді қолдану.</w:t>
      </w:r>
    </w:p>
    <w:p w14:paraId="49E88C26" w14:textId="77777777" w:rsidR="00BC715B" w:rsidRPr="00BC715B" w:rsidRDefault="00BC715B" w:rsidP="00BC715B">
      <w:pPr>
        <w:numPr>
          <w:ilvl w:val="0"/>
          <w:numId w:val="2"/>
        </w:numPr>
        <w:tabs>
          <w:tab w:val="left" w:pos="142"/>
          <w:tab w:val="left" w:pos="360"/>
          <w:tab w:val="left" w:pos="426"/>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 xml:space="preserve"> Жылжымалы құрам жұмысымен оны пайдаланудағы оперативті бақылау.</w:t>
      </w:r>
    </w:p>
    <w:p w14:paraId="79555DFA" w14:textId="77777777" w:rsidR="00BC715B" w:rsidRPr="00BC715B" w:rsidRDefault="00BC715B" w:rsidP="00BC715B">
      <w:pPr>
        <w:tabs>
          <w:tab w:val="left" w:pos="142"/>
          <w:tab w:val="left" w:pos="426"/>
          <w:tab w:val="left" w:pos="709"/>
          <w:tab w:val="left" w:pos="851"/>
          <w:tab w:val="left" w:pos="993"/>
        </w:tabs>
        <w:spacing w:after="0" w:line="240" w:lineRule="auto"/>
        <w:ind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 xml:space="preserve">Жүргізуші - көліктік операцияларды орындауға қатысатын негізгі қатысушы, сондықтан да оның жұмысын ұйымдастыру еңбек өнімділігінің деңгейіне қатысты. </w:t>
      </w:r>
    </w:p>
    <w:p w14:paraId="5B03274C" w14:textId="77777777" w:rsidR="00BC715B" w:rsidRPr="00BC715B" w:rsidRDefault="00BC715B" w:rsidP="00BC715B">
      <w:pPr>
        <w:tabs>
          <w:tab w:val="left" w:pos="142"/>
          <w:tab w:val="left" w:pos="426"/>
          <w:tab w:val="left" w:pos="709"/>
          <w:tab w:val="left" w:pos="851"/>
          <w:tab w:val="left" w:pos="993"/>
        </w:tabs>
        <w:spacing w:after="0" w:line="240" w:lineRule="auto"/>
        <w:ind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Тасымалдау және қауіпсіздік сапасында жүргізуші жұмысы үздіксіз дене жұмысымен байланысты. Жолдың үнемі өзгеріп отыратын жағдайы жүргізушіден үлкен назар және жедел шешім қабылдауды талап етеді, сондықтан жүргізуші еңбегін ұйымдастыру, ұйымдастырылған еңбек режимі нормасын ұстануы қажет және жүргізушінің шаршауына жол бермеу керек.</w:t>
      </w:r>
    </w:p>
    <w:p w14:paraId="2307629B" w14:textId="77777777" w:rsidR="00BC715B" w:rsidRPr="00BC715B" w:rsidRDefault="00BC715B" w:rsidP="00BC715B">
      <w:pPr>
        <w:tabs>
          <w:tab w:val="left" w:pos="142"/>
          <w:tab w:val="left" w:pos="426"/>
          <w:tab w:val="left" w:pos="709"/>
          <w:tab w:val="left" w:pos="851"/>
          <w:tab w:val="left" w:pos="993"/>
        </w:tabs>
        <w:spacing w:after="0" w:line="240" w:lineRule="auto"/>
        <w:ind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Көлік үрдісін тиімді ұйымдастыру үшін келесі талаптар ұсынылады:</w:t>
      </w:r>
    </w:p>
    <w:p w14:paraId="6D5E9F89" w14:textId="77777777" w:rsidR="00BC715B" w:rsidRPr="00BC715B" w:rsidRDefault="00BC715B" w:rsidP="00BC715B">
      <w:pPr>
        <w:numPr>
          <w:ilvl w:val="0"/>
          <w:numId w:val="1"/>
        </w:numPr>
        <w:tabs>
          <w:tab w:val="left" w:pos="142"/>
          <w:tab w:val="left" w:pos="426"/>
          <w:tab w:val="num" w:pos="540"/>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Жүктерді арту және түсіруде автомобильдердің бос уақытының жоғары нормативті уақыт шығынын қысқарту; тиеу-түсіру жұмыстарын кеңейту және оларға кешенді механизация қолдану; автомобильдер жұмысы графигін қатаң сақтау және құру; автомобильдер маневріне алаңдар мен жол өткелдерін құру, көбіне бұл тіркемелі автомобильдерге, тіркемелі немесе жартылай тіркемелі тягачтарға; алдын ала жүктерді дайындау және т.б.</w:t>
      </w:r>
    </w:p>
    <w:p w14:paraId="621B32B1" w14:textId="77777777" w:rsidR="00BC715B" w:rsidRPr="00BC715B" w:rsidRDefault="00BC715B" w:rsidP="00BC715B">
      <w:pPr>
        <w:numPr>
          <w:ilvl w:val="0"/>
          <w:numId w:val="1"/>
        </w:numPr>
        <w:tabs>
          <w:tab w:val="left" w:pos="142"/>
          <w:tab w:val="left" w:pos="426"/>
          <w:tab w:val="num" w:pos="540"/>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Рациональды жүктерді жинау, жылжымалы құрам сыйымдылығы мен рұқсатты максимальды жүк көтерімділігі.</w:t>
      </w:r>
    </w:p>
    <w:p w14:paraId="4874AE1B" w14:textId="77777777" w:rsidR="00BC715B" w:rsidRPr="00BC715B" w:rsidRDefault="00BC715B" w:rsidP="00BC715B">
      <w:pPr>
        <w:numPr>
          <w:ilvl w:val="0"/>
          <w:numId w:val="1"/>
        </w:numPr>
        <w:tabs>
          <w:tab w:val="left" w:pos="142"/>
          <w:tab w:val="left" w:pos="426"/>
          <w:tab w:val="num" w:pos="540"/>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Кузовта жүктерді дұрыс орналастыру және олардың жүру бөлігіне салмақты жүктілігінің тең өлшемді таралуы.</w:t>
      </w:r>
    </w:p>
    <w:p w14:paraId="3F481AAD" w14:textId="77777777" w:rsidR="00BC715B" w:rsidRPr="00BC715B" w:rsidRDefault="00BC715B" w:rsidP="00BC715B">
      <w:pPr>
        <w:numPr>
          <w:ilvl w:val="0"/>
          <w:numId w:val="1"/>
        </w:numPr>
        <w:tabs>
          <w:tab w:val="left" w:pos="142"/>
          <w:tab w:val="left" w:pos="426"/>
          <w:tab w:val="num" w:pos="540"/>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Жол бөліктерінде жол жамылғысы жағдайын есепке ала отырып автомобильдер қозғалысының режимін оңтайландыру.</w:t>
      </w:r>
    </w:p>
    <w:p w14:paraId="4C3422A8" w14:textId="77777777" w:rsidR="00BC715B" w:rsidRPr="00BC715B" w:rsidRDefault="00BC715B" w:rsidP="00BC715B">
      <w:pPr>
        <w:numPr>
          <w:ilvl w:val="0"/>
          <w:numId w:val="1"/>
        </w:numPr>
        <w:tabs>
          <w:tab w:val="left" w:pos="142"/>
          <w:tab w:val="left" w:pos="426"/>
          <w:tab w:val="num" w:pos="540"/>
          <w:tab w:val="left" w:pos="709"/>
          <w:tab w:val="left" w:pos="851"/>
          <w:tab w:val="left" w:pos="993"/>
        </w:tabs>
        <w:autoSpaceDE w:val="0"/>
        <w:autoSpaceDN w:val="0"/>
        <w:spacing w:after="0" w:line="240" w:lineRule="auto"/>
        <w:ind w:left="0" w:firstLine="567"/>
        <w:jc w:val="both"/>
        <w:rPr>
          <w:rFonts w:ascii="Times New Roman" w:eastAsia="Times New Roman" w:hAnsi="Times New Roman" w:cs="Times New Roman"/>
          <w:sz w:val="24"/>
          <w:szCs w:val="24"/>
          <w:lang w:val="kk-KZ"/>
        </w:rPr>
      </w:pPr>
      <w:r w:rsidRPr="00BC715B">
        <w:rPr>
          <w:rFonts w:ascii="Times New Roman" w:eastAsia="Times New Roman" w:hAnsi="Times New Roman" w:cs="Times New Roman"/>
          <w:sz w:val="24"/>
          <w:szCs w:val="24"/>
          <w:lang w:val="kk-KZ"/>
        </w:rPr>
        <w:t>Заңды тұрғыда жүргізушілердің жұмыс уақытын максимальды пайдалану.</w:t>
      </w:r>
    </w:p>
    <w:p w14:paraId="3BD295CB" w14:textId="053DF35C" w:rsidR="006D4932" w:rsidRDefault="006D4932">
      <w:pPr>
        <w:rPr>
          <w:lang w:val="kk-KZ"/>
        </w:rPr>
      </w:pPr>
    </w:p>
    <w:p w14:paraId="34ADC7B8" w14:textId="09D3B9A2" w:rsidR="002A39D9" w:rsidRDefault="002A39D9">
      <w:pPr>
        <w:rPr>
          <w:lang w:val="kk-KZ"/>
        </w:rPr>
      </w:pPr>
    </w:p>
    <w:p w14:paraId="1A8542E3" w14:textId="0563B970" w:rsidR="002A39D9" w:rsidRDefault="002A39D9">
      <w:pPr>
        <w:rPr>
          <w:lang w:val="kk-KZ"/>
        </w:rPr>
      </w:pPr>
    </w:p>
    <w:p w14:paraId="5DCDAF4A" w14:textId="36CA8D2A" w:rsidR="002A39D9" w:rsidRDefault="002A39D9">
      <w:pPr>
        <w:rPr>
          <w:lang w:val="kk-KZ"/>
        </w:rPr>
      </w:pPr>
    </w:p>
    <w:p w14:paraId="13965196" w14:textId="08C4AC5B" w:rsidR="002A39D9" w:rsidRDefault="002A39D9">
      <w:pPr>
        <w:rPr>
          <w:lang w:val="kk-KZ"/>
        </w:rPr>
      </w:pPr>
    </w:p>
    <w:p w14:paraId="592BFFF3" w14:textId="77777777" w:rsidR="002A39D9" w:rsidRPr="002A39D9" w:rsidRDefault="002A39D9" w:rsidP="002A39D9">
      <w:pPr>
        <w:tabs>
          <w:tab w:val="left" w:pos="426"/>
        </w:tabs>
        <w:spacing w:after="0" w:line="240" w:lineRule="auto"/>
        <w:jc w:val="center"/>
        <w:rPr>
          <w:rFonts w:ascii="Times New Roman" w:eastAsia="Times New Roman" w:hAnsi="Times New Roman" w:cs="Times New Roman"/>
          <w:b/>
          <w:color w:val="FF0000"/>
          <w:sz w:val="24"/>
          <w:szCs w:val="24"/>
          <w:lang w:val="kk-KZ"/>
        </w:rPr>
      </w:pPr>
      <w:bookmarkStart w:id="0" w:name="_Hlk56373742"/>
      <w:r w:rsidRPr="002A39D9">
        <w:rPr>
          <w:rFonts w:ascii="Times New Roman" w:eastAsia="Times New Roman" w:hAnsi="Times New Roman" w:cs="Times New Roman"/>
          <w:b/>
          <w:sz w:val="24"/>
          <w:szCs w:val="24"/>
          <w:lang w:val="kk-KZ"/>
        </w:rPr>
        <w:t>Тақырып: Көлік жүйесінің жалпы сипаттамасы және оның халықаралық, мемлекеттік, қоғамдық-экономикалық дамуы.</w:t>
      </w:r>
    </w:p>
    <w:bookmarkEnd w:id="0"/>
    <w:p w14:paraId="0806EE77"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color w:val="FF0000"/>
          <w:sz w:val="24"/>
          <w:szCs w:val="24"/>
          <w:lang w:val="kk-KZ"/>
        </w:rPr>
      </w:pPr>
    </w:p>
    <w:p w14:paraId="0CF6EEE6"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bCs/>
          <w:sz w:val="24"/>
          <w:szCs w:val="24"/>
          <w:lang w:val="kk-KZ"/>
        </w:rPr>
      </w:pPr>
      <w:r w:rsidRPr="002A39D9">
        <w:rPr>
          <w:rFonts w:ascii="Times New Roman" w:eastAsia="Times New Roman" w:hAnsi="Times New Roman" w:cs="Times New Roman"/>
          <w:sz w:val="24"/>
          <w:szCs w:val="24"/>
          <w:lang w:val="kk-KZ"/>
        </w:rPr>
        <w:t>Жүк автокөлік жұмысы екі негізгі көрсеткіштермен сипатталады</w:t>
      </w:r>
      <w:r w:rsidRPr="002A39D9">
        <w:rPr>
          <w:rFonts w:ascii="Times New Roman" w:eastAsia="Times New Roman" w:hAnsi="Times New Roman" w:cs="Times New Roman"/>
          <w:bCs/>
          <w:sz w:val="24"/>
          <w:szCs w:val="24"/>
          <w:lang w:val="kk-KZ"/>
        </w:rPr>
        <w:t>: жүктерді тасымалдау көлемі және жүк айналымы.</w:t>
      </w:r>
    </w:p>
    <w:p w14:paraId="7837B2B6"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Жүк ағыны белгілі-бір уақытта автомобиль көлігі тасымалдауында немесе тасымалданғандағы тоннамен өлшенетін жүк көлемін көрсетеді.</w:t>
      </w:r>
    </w:p>
    <w:p w14:paraId="0BCFE310"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Жүк айналым тонна-километрмен немесе осы уақытқа дейінгі немесе белгілі-бір уақыт аралығында орындалған аралас жүктердің көліктік жұмысымен өлшенеді.</w:t>
      </w:r>
    </w:p>
    <w:p w14:paraId="41468280"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 xml:space="preserve">Жалпы жүк айналым көлемі және автокөлік мекемелерінде жүк айналым  қабылданған номенклатура бойынша бөлінеді. Бұл бөліну жүк айналымы мен тасымал құрылымы деп аталады. Тасымал  көлемін анықтауда бір жүкті бірнеше есе тасуға тура келеді (бұл көбіне қалалы орындарды кездеседі). Бұл дегеніміз бір жүкті қабылдау орнына жеткізудегі алмасушылық болуы мүмкін. Мысалы, кейбір жабдықтауға арналған құрылыс материалдары, санитарлы-техникалық және электромонтаждау жұмыстарында бірінші, сәйкес қоймаларға апарылып, содан кейін құрылыс нысандарына тасылады. Көбіне қайталанбалы тасымалдар сауда жүйелеріне өндірістік және азық-түлік тауарлары болып келеді. Бұл тауарлар көбіне алғашқыда темір жолмен, су және әуе көліктермен станция немесе аэропорттардағы сауда қоймаларына әкелініп, сортталып, сосын дүкендерге тасымалданады. </w:t>
      </w:r>
    </w:p>
    <w:p w14:paraId="4909505A"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 xml:space="preserve">Уақыттың ұзақтығына байланысты жүк айналым және тасымал көлемі сағаттық, тәуліктік, айлық, кварталдық, жылдық болып келеді. </w:t>
      </w:r>
    </w:p>
    <w:p w14:paraId="055C5D19"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Жүк айналым және тасымал көлемі ереже бойынша әрбір ай және квартал бойынша бір қалыпты таралмайды. Бұл тербеліс автокөлік қызметі мен сұранысқа байланысты.</w:t>
      </w:r>
    </w:p>
    <w:p w14:paraId="436C37BD"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Бір қалыпсыздық деңгейі бір қалыпсыздық коэффициентпен анықталады, тасымал көлемі жүк айналымының максимальды шамасының белгілі-бір уақыттың орташа қатынасына тең.</w:t>
      </w:r>
    </w:p>
    <w:p w14:paraId="29A31538"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Тасымалдау шартына және сақтауға  байланысты  жүктер   қарапайым және спецификалық болып бөлінеді.</w:t>
      </w:r>
    </w:p>
    <w:p w14:paraId="7071CABA"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Жылжымалы құрам жүктілік деңгейіне байланысты жүктер төрт класқа бөлінеді, ол 2.1.1 кестеде келтірілген.</w:t>
      </w:r>
    </w:p>
    <w:p w14:paraId="587B230D"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p>
    <w:p w14:paraId="06FC8FB4" w14:textId="77777777" w:rsidR="002A39D9" w:rsidRPr="002A39D9" w:rsidRDefault="002A39D9" w:rsidP="002A39D9">
      <w:pPr>
        <w:keepNext/>
        <w:tabs>
          <w:tab w:val="left" w:pos="426"/>
          <w:tab w:val="left" w:pos="720"/>
        </w:tabs>
        <w:spacing w:after="0" w:line="240" w:lineRule="auto"/>
        <w:jc w:val="both"/>
        <w:outlineLvl w:val="0"/>
        <w:rPr>
          <w:rFonts w:ascii="Times New Roman" w:eastAsia="Times New Roman" w:hAnsi="Times New Roman" w:cs="Times New Roman"/>
          <w:sz w:val="24"/>
          <w:szCs w:val="24"/>
          <w:u w:val="single"/>
        </w:rPr>
      </w:pPr>
      <w:r w:rsidRPr="002A39D9">
        <w:rPr>
          <w:rFonts w:ascii="Times New Roman" w:eastAsia="Times New Roman" w:hAnsi="Times New Roman" w:cs="Times New Roman"/>
          <w:sz w:val="24"/>
          <w:szCs w:val="24"/>
          <w:u w:val="single"/>
        </w:rPr>
        <w:t>Кесте 2.1.1 Жүктер класы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3600"/>
        <w:gridCol w:w="3522"/>
      </w:tblGrid>
      <w:tr w:rsidR="002A39D9" w:rsidRPr="002A39D9" w14:paraId="05DF0E44" w14:textId="77777777" w:rsidTr="00175C2E">
        <w:trPr>
          <w:cantSplit/>
        </w:trPr>
        <w:tc>
          <w:tcPr>
            <w:tcW w:w="2448" w:type="dxa"/>
            <w:vMerge w:val="restart"/>
          </w:tcPr>
          <w:p w14:paraId="2221A809"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Класс</w:t>
            </w:r>
          </w:p>
        </w:tc>
        <w:tc>
          <w:tcPr>
            <w:tcW w:w="7122" w:type="dxa"/>
            <w:gridSpan w:val="2"/>
          </w:tcPr>
          <w:p w14:paraId="00382B3A"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Жүккөтерімділікті пайдалану коэффициенті, q</w:t>
            </w:r>
          </w:p>
        </w:tc>
      </w:tr>
      <w:tr w:rsidR="002A39D9" w:rsidRPr="002A39D9" w14:paraId="514F4EDB" w14:textId="77777777" w:rsidTr="00175C2E">
        <w:trPr>
          <w:cantSplit/>
        </w:trPr>
        <w:tc>
          <w:tcPr>
            <w:tcW w:w="2448" w:type="dxa"/>
            <w:vMerge/>
          </w:tcPr>
          <w:p w14:paraId="5932F10A"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p>
        </w:tc>
        <w:tc>
          <w:tcPr>
            <w:tcW w:w="3600" w:type="dxa"/>
          </w:tcPr>
          <w:p w14:paraId="1255E689"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диапазон</w:t>
            </w:r>
          </w:p>
        </w:tc>
        <w:tc>
          <w:tcPr>
            <w:tcW w:w="3522" w:type="dxa"/>
          </w:tcPr>
          <w:p w14:paraId="0479D78F"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Орташа мәні</w:t>
            </w:r>
          </w:p>
        </w:tc>
      </w:tr>
      <w:tr w:rsidR="002A39D9" w:rsidRPr="002A39D9" w14:paraId="3E037376" w14:textId="77777777" w:rsidTr="00175C2E">
        <w:tc>
          <w:tcPr>
            <w:tcW w:w="2448" w:type="dxa"/>
          </w:tcPr>
          <w:p w14:paraId="6A911374"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1</w:t>
            </w:r>
          </w:p>
        </w:tc>
        <w:tc>
          <w:tcPr>
            <w:tcW w:w="3600" w:type="dxa"/>
          </w:tcPr>
          <w:p w14:paraId="5AA4388F"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0,91...1,0</w:t>
            </w:r>
          </w:p>
        </w:tc>
        <w:tc>
          <w:tcPr>
            <w:tcW w:w="3522" w:type="dxa"/>
          </w:tcPr>
          <w:p w14:paraId="691AA39B"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0,96</w:t>
            </w:r>
          </w:p>
        </w:tc>
      </w:tr>
      <w:tr w:rsidR="002A39D9" w:rsidRPr="002A39D9" w14:paraId="0A058F3F" w14:textId="77777777" w:rsidTr="00175C2E">
        <w:tc>
          <w:tcPr>
            <w:tcW w:w="2448" w:type="dxa"/>
          </w:tcPr>
          <w:p w14:paraId="25713CE7"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2</w:t>
            </w:r>
          </w:p>
        </w:tc>
        <w:tc>
          <w:tcPr>
            <w:tcW w:w="3600" w:type="dxa"/>
          </w:tcPr>
          <w:p w14:paraId="043A24E4"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0,71....0,9</w:t>
            </w:r>
          </w:p>
        </w:tc>
        <w:tc>
          <w:tcPr>
            <w:tcW w:w="3522" w:type="dxa"/>
          </w:tcPr>
          <w:p w14:paraId="45A5F06E"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0,8</w:t>
            </w:r>
          </w:p>
        </w:tc>
      </w:tr>
      <w:tr w:rsidR="002A39D9" w:rsidRPr="002A39D9" w14:paraId="22F6068F" w14:textId="77777777" w:rsidTr="00175C2E">
        <w:tc>
          <w:tcPr>
            <w:tcW w:w="2448" w:type="dxa"/>
          </w:tcPr>
          <w:p w14:paraId="12550ADA"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3</w:t>
            </w:r>
          </w:p>
        </w:tc>
        <w:tc>
          <w:tcPr>
            <w:tcW w:w="3600" w:type="dxa"/>
          </w:tcPr>
          <w:p w14:paraId="638E120D"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0,51....0,7</w:t>
            </w:r>
          </w:p>
        </w:tc>
        <w:tc>
          <w:tcPr>
            <w:tcW w:w="3522" w:type="dxa"/>
          </w:tcPr>
          <w:p w14:paraId="5C577A27"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0,6</w:t>
            </w:r>
          </w:p>
        </w:tc>
      </w:tr>
      <w:tr w:rsidR="002A39D9" w:rsidRPr="002A39D9" w14:paraId="3966FCE1" w14:textId="77777777" w:rsidTr="00175C2E">
        <w:tc>
          <w:tcPr>
            <w:tcW w:w="2448" w:type="dxa"/>
          </w:tcPr>
          <w:p w14:paraId="53664E00"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4</w:t>
            </w:r>
          </w:p>
        </w:tc>
        <w:tc>
          <w:tcPr>
            <w:tcW w:w="3600" w:type="dxa"/>
          </w:tcPr>
          <w:p w14:paraId="16CB3CBB"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0,40....0,5</w:t>
            </w:r>
          </w:p>
        </w:tc>
        <w:tc>
          <w:tcPr>
            <w:tcW w:w="3522" w:type="dxa"/>
          </w:tcPr>
          <w:p w14:paraId="0DE58689"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0,45</w:t>
            </w:r>
          </w:p>
        </w:tc>
      </w:tr>
    </w:tbl>
    <w:p w14:paraId="3F0005AD"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p>
    <w:p w14:paraId="7EE691B0"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Көлік заңнамасындағы жүктер классификациясы - бұл тасымал төлемдерінің бекітілген өлшеміндей тарифті топпен жүктер тасымалының таралуы.</w:t>
      </w:r>
    </w:p>
    <w:p w14:paraId="6E7016F4"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5"/>
        <w:gridCol w:w="4785"/>
      </w:tblGrid>
      <w:tr w:rsidR="002A39D9" w:rsidRPr="002A39D9" w14:paraId="19EA5B85" w14:textId="77777777" w:rsidTr="00175C2E">
        <w:tc>
          <w:tcPr>
            <w:tcW w:w="4785" w:type="dxa"/>
          </w:tcPr>
          <w:p w14:paraId="5D2D7EF5"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 xml:space="preserve">Класс </w:t>
            </w:r>
          </w:p>
        </w:tc>
        <w:tc>
          <w:tcPr>
            <w:tcW w:w="4785" w:type="dxa"/>
          </w:tcPr>
          <w:p w14:paraId="356C61A2"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t xml:space="preserve">Коэффициент </w:t>
            </w:r>
          </w:p>
        </w:tc>
      </w:tr>
      <w:tr w:rsidR="002A39D9" w:rsidRPr="002A39D9" w14:paraId="1631422E" w14:textId="77777777" w:rsidTr="00175C2E">
        <w:tc>
          <w:tcPr>
            <w:tcW w:w="4785" w:type="dxa"/>
          </w:tcPr>
          <w:p w14:paraId="4EC5C4B9"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ru-MD"/>
              </w:rPr>
            </w:pPr>
            <w:r w:rsidRPr="002A39D9">
              <w:rPr>
                <w:rFonts w:ascii="Times New Roman" w:eastAsia="Times New Roman" w:hAnsi="Times New Roman" w:cs="Times New Roman"/>
                <w:sz w:val="24"/>
                <w:szCs w:val="24"/>
                <w:lang w:val="en-US"/>
              </w:rPr>
              <w:t>I</w:t>
            </w:r>
          </w:p>
        </w:tc>
        <w:tc>
          <w:tcPr>
            <w:tcW w:w="4785" w:type="dxa"/>
          </w:tcPr>
          <w:p w14:paraId="1418CB05"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1</w:t>
            </w:r>
          </w:p>
        </w:tc>
      </w:tr>
      <w:tr w:rsidR="002A39D9" w:rsidRPr="002A39D9" w14:paraId="67713A20" w14:textId="77777777" w:rsidTr="00175C2E">
        <w:tc>
          <w:tcPr>
            <w:tcW w:w="4785" w:type="dxa"/>
          </w:tcPr>
          <w:p w14:paraId="7AC49D7F"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II</w:t>
            </w:r>
          </w:p>
        </w:tc>
        <w:tc>
          <w:tcPr>
            <w:tcW w:w="4785" w:type="dxa"/>
          </w:tcPr>
          <w:p w14:paraId="63DB1994"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0.71-0.99</w:t>
            </w:r>
          </w:p>
        </w:tc>
      </w:tr>
      <w:tr w:rsidR="002A39D9" w:rsidRPr="002A39D9" w14:paraId="24F05298" w14:textId="77777777" w:rsidTr="00175C2E">
        <w:tc>
          <w:tcPr>
            <w:tcW w:w="4785" w:type="dxa"/>
          </w:tcPr>
          <w:p w14:paraId="7DCFC506"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III</w:t>
            </w:r>
          </w:p>
        </w:tc>
        <w:tc>
          <w:tcPr>
            <w:tcW w:w="4785" w:type="dxa"/>
          </w:tcPr>
          <w:p w14:paraId="26C66A7F"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0.51-0.70</w:t>
            </w:r>
          </w:p>
        </w:tc>
      </w:tr>
      <w:tr w:rsidR="002A39D9" w:rsidRPr="002A39D9" w14:paraId="7EDFD070" w14:textId="77777777" w:rsidTr="00175C2E">
        <w:tc>
          <w:tcPr>
            <w:tcW w:w="4785" w:type="dxa"/>
          </w:tcPr>
          <w:p w14:paraId="329D5D7F"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VI</w:t>
            </w:r>
          </w:p>
        </w:tc>
        <w:tc>
          <w:tcPr>
            <w:tcW w:w="4785" w:type="dxa"/>
          </w:tcPr>
          <w:p w14:paraId="5A18A787"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en-US"/>
              </w:rPr>
            </w:pPr>
            <w:r w:rsidRPr="002A39D9">
              <w:rPr>
                <w:rFonts w:ascii="Times New Roman" w:eastAsia="Times New Roman" w:hAnsi="Times New Roman" w:cs="Times New Roman"/>
                <w:sz w:val="24"/>
                <w:szCs w:val="24"/>
                <w:lang w:val="en-US"/>
              </w:rPr>
              <w:t>0.41-0.50</w:t>
            </w:r>
          </w:p>
        </w:tc>
      </w:tr>
    </w:tbl>
    <w:p w14:paraId="6B4C5631" w14:textId="77777777" w:rsidR="002A39D9" w:rsidRPr="002A39D9" w:rsidRDefault="002A39D9" w:rsidP="002A39D9">
      <w:pPr>
        <w:tabs>
          <w:tab w:val="left" w:pos="426"/>
        </w:tabs>
        <w:spacing w:after="0" w:line="240" w:lineRule="auto"/>
        <w:jc w:val="both"/>
        <w:rPr>
          <w:rFonts w:ascii="Times New Roman" w:eastAsia="Times New Roman" w:hAnsi="Times New Roman" w:cs="Times New Roman"/>
          <w:sz w:val="24"/>
          <w:szCs w:val="24"/>
          <w:lang w:val="kk-KZ"/>
        </w:rPr>
      </w:pPr>
    </w:p>
    <w:p w14:paraId="6A93793A"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sz w:val="24"/>
          <w:szCs w:val="24"/>
          <w:lang w:val="kk-KZ"/>
        </w:rPr>
      </w:pPr>
      <w:r w:rsidRPr="002A39D9">
        <w:rPr>
          <w:rFonts w:ascii="Times New Roman" w:eastAsia="Times New Roman" w:hAnsi="Times New Roman" w:cs="Times New Roman"/>
          <w:sz w:val="24"/>
          <w:szCs w:val="24"/>
          <w:lang w:val="kk-KZ"/>
        </w:rPr>
        <w:lastRenderedPageBreak/>
        <w:t xml:space="preserve">Көліктегі жүктер - деп жүкті тасымалға алғаннан жүк қабылдаушыға тапсырғанға дейінгі барлық үрдістерді атайды. </w:t>
      </w:r>
    </w:p>
    <w:p w14:paraId="369EA7C6" w14:textId="77777777" w:rsidR="002A39D9" w:rsidRPr="002A39D9" w:rsidRDefault="002A39D9" w:rsidP="002A39D9">
      <w:pPr>
        <w:tabs>
          <w:tab w:val="left" w:pos="426"/>
        </w:tabs>
        <w:spacing w:after="0" w:line="240" w:lineRule="auto"/>
        <w:ind w:firstLine="567"/>
        <w:jc w:val="both"/>
        <w:rPr>
          <w:rFonts w:ascii="Times New Roman" w:eastAsia="Times New Roman" w:hAnsi="Times New Roman" w:cs="Times New Roman"/>
          <w:color w:val="FF0000"/>
          <w:sz w:val="24"/>
          <w:szCs w:val="24"/>
          <w:lang w:val="kk-KZ"/>
        </w:rPr>
      </w:pPr>
      <w:r w:rsidRPr="002A39D9">
        <w:rPr>
          <w:rFonts w:ascii="Times New Roman" w:eastAsia="Times New Roman" w:hAnsi="Times New Roman" w:cs="Times New Roman"/>
          <w:sz w:val="24"/>
          <w:szCs w:val="24"/>
          <w:lang w:val="kk-KZ"/>
        </w:rPr>
        <w:t>Автомобиль көлігі қаптау түрінің әртүрлі физикалық қасиетіндегі түрлі жүктерді тасымалдайды. Жүк түрлері жылжымалы құрам типтерін таңдауда және оның пайдалану шарттарын, арту-түсіру жұмыстарын орындау тәсілдері - қажетті факторлардың бірі болады. Жүктер ерекшелігіне байланысты топтастырылады.</w:t>
      </w:r>
    </w:p>
    <w:p w14:paraId="7C14CFC2" w14:textId="4573483A" w:rsidR="002A39D9" w:rsidRDefault="002A39D9">
      <w:pPr>
        <w:rPr>
          <w:lang w:val="kk-KZ"/>
        </w:rPr>
      </w:pPr>
    </w:p>
    <w:p w14:paraId="72A6B18F" w14:textId="7FF6A8A4" w:rsidR="002A39D9" w:rsidRDefault="002A39D9">
      <w:pPr>
        <w:rPr>
          <w:lang w:val="kk-KZ"/>
        </w:rPr>
      </w:pPr>
    </w:p>
    <w:p w14:paraId="34B098C9" w14:textId="75E21E93" w:rsidR="002A39D9" w:rsidRDefault="002A39D9">
      <w:pPr>
        <w:rPr>
          <w:lang w:val="kk-KZ"/>
        </w:rPr>
      </w:pPr>
    </w:p>
    <w:p w14:paraId="7EBBD925" w14:textId="07866871" w:rsidR="002A39D9" w:rsidRDefault="002A39D9">
      <w:pPr>
        <w:rPr>
          <w:lang w:val="kk-KZ"/>
        </w:rPr>
      </w:pPr>
    </w:p>
    <w:p w14:paraId="4A615E3D" w14:textId="146923ED" w:rsidR="002A39D9" w:rsidRDefault="002A39D9">
      <w:pPr>
        <w:rPr>
          <w:lang w:val="kk-KZ"/>
        </w:rPr>
      </w:pPr>
    </w:p>
    <w:p w14:paraId="209405CE" w14:textId="69AF66FB" w:rsidR="002A39D9" w:rsidRDefault="002A39D9">
      <w:pPr>
        <w:rPr>
          <w:lang w:val="kk-KZ"/>
        </w:rPr>
      </w:pPr>
    </w:p>
    <w:p w14:paraId="090E9F67" w14:textId="1105DB55" w:rsidR="002A39D9" w:rsidRDefault="002A39D9">
      <w:pPr>
        <w:rPr>
          <w:lang w:val="kk-KZ"/>
        </w:rPr>
      </w:pPr>
    </w:p>
    <w:p w14:paraId="28BC061A" w14:textId="5042CC17" w:rsidR="002A39D9" w:rsidRDefault="002A39D9">
      <w:pPr>
        <w:rPr>
          <w:lang w:val="kk-KZ"/>
        </w:rPr>
      </w:pPr>
    </w:p>
    <w:p w14:paraId="2D9C747C" w14:textId="662D82A0" w:rsidR="002A39D9" w:rsidRDefault="002A39D9">
      <w:pPr>
        <w:rPr>
          <w:lang w:val="kk-KZ"/>
        </w:rPr>
      </w:pPr>
    </w:p>
    <w:p w14:paraId="7AF91C32" w14:textId="77777777" w:rsidR="002A39D9" w:rsidRPr="00BC715B" w:rsidRDefault="002A39D9">
      <w:pPr>
        <w:rPr>
          <w:lang w:val="kk-KZ"/>
        </w:rPr>
      </w:pPr>
    </w:p>
    <w:sectPr w:rsidR="002A39D9" w:rsidRPr="00BC71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5B7E38"/>
    <w:multiLevelType w:val="hybridMultilevel"/>
    <w:tmpl w:val="4816E594"/>
    <w:lvl w:ilvl="0" w:tplc="FFFFFFFF">
      <w:start w:val="1"/>
      <w:numFmt w:val="decimal"/>
      <w:lvlText w:val="%1."/>
      <w:lvlJc w:val="left"/>
      <w:pPr>
        <w:tabs>
          <w:tab w:val="num" w:pos="1183"/>
        </w:tabs>
        <w:ind w:left="1183"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613D3EE0"/>
    <w:multiLevelType w:val="hybridMultilevel"/>
    <w:tmpl w:val="822C7AB6"/>
    <w:lvl w:ilvl="0" w:tplc="FFFFFFFF">
      <w:start w:val="1"/>
      <w:numFmt w:val="decimal"/>
      <w:lvlText w:val="%1."/>
      <w:lvlJc w:val="left"/>
      <w:pPr>
        <w:tabs>
          <w:tab w:val="num" w:pos="1830"/>
        </w:tabs>
        <w:ind w:left="1830" w:hanging="111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19C"/>
    <w:rsid w:val="002A39D9"/>
    <w:rsid w:val="006D4932"/>
    <w:rsid w:val="00BC715B"/>
    <w:rsid w:val="00C90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49CEB"/>
  <w15:chartTrackingRefBased/>
  <w15:docId w15:val="{70D6F49C-22B4-4096-ABFD-415662E4A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800</Words>
  <Characters>4561</Characters>
  <Application>Microsoft Office Word</Application>
  <DocSecurity>0</DocSecurity>
  <Lines>38</Lines>
  <Paragraphs>10</Paragraphs>
  <ScaleCrop>false</ScaleCrop>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2020-11-15T16:57:00Z</dcterms:created>
  <dcterms:modified xsi:type="dcterms:W3CDTF">2020-11-15T17:02:00Z</dcterms:modified>
</cp:coreProperties>
</file>